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6F" w:rsidRPr="00E53930" w:rsidRDefault="00E76A6F" w:rsidP="00E76A6F">
      <w:pPr>
        <w:spacing w:after="120"/>
        <w:ind w:firstLine="720"/>
        <w:jc w:val="both"/>
        <w:rPr>
          <w:rFonts w:ascii="Times New Roman" w:hAnsi="Times New Roman" w:cs="Times New Roman"/>
          <w:b/>
          <w:i/>
          <w:color w:val="auto"/>
          <w:sz w:val="26"/>
          <w:lang w:val="hr-HR"/>
        </w:rPr>
      </w:pPr>
      <w:bookmarkStart w:id="0" w:name="_GoBack"/>
      <w:r w:rsidRPr="00E53930">
        <w:rPr>
          <w:rFonts w:ascii="Times New Roman" w:hAnsi="Times New Roman" w:cs="Times New Roman"/>
          <w:b/>
          <w:color w:val="auto"/>
          <w:sz w:val="26"/>
          <w:lang w:val="hr-HR"/>
        </w:rPr>
        <w:t xml:space="preserve">22. Thủ tục: </w:t>
      </w:r>
      <w:r w:rsidRPr="00E53930">
        <w:rPr>
          <w:rFonts w:ascii="Times New Roman" w:hAnsi="Times New Roman" w:cs="Times New Roman"/>
          <w:b/>
          <w:i/>
          <w:color w:val="auto"/>
          <w:sz w:val="26"/>
          <w:lang w:val="hr-HR"/>
        </w:rPr>
        <w:t>Chấm dứt hoạt động văn phòng điều hành của nhà đầu tư nước ngoài trong hợp đồng BCC.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E76A6F"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E76A6F" w:rsidRPr="001A077E" w:rsidRDefault="00E76A6F"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E76A6F" w:rsidRPr="001A077E" w:rsidRDefault="00E76A6F"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76A6F" w:rsidRPr="001A077E" w:rsidRDefault="00E76A6F"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E76A6F" w:rsidRPr="001A077E" w:rsidRDefault="00E76A6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E76A6F" w:rsidRPr="001A077E" w:rsidRDefault="00E76A6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E76A6F" w:rsidRPr="001A077E" w:rsidRDefault="00E76A6F"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E76A6F" w:rsidRPr="001A077E" w:rsidRDefault="00E76A6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E76A6F" w:rsidRDefault="00E76A6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E76A6F" w:rsidRPr="002313D5" w:rsidRDefault="00E76A6F"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E76A6F" w:rsidRPr="001A077E" w:rsidTr="00E0528D">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E76A6F" w:rsidRPr="001A077E" w:rsidTr="00E0528D">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Thành phần,</w:t>
            </w:r>
          </w:p>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số lượng hồ sơ</w:t>
            </w:r>
          </w:p>
          <w:p w:rsidR="00E76A6F" w:rsidRPr="001A077E" w:rsidRDefault="00E76A6F" w:rsidP="00E0528D">
            <w:pPr>
              <w:jc w:val="both"/>
              <w:rPr>
                <w:rFonts w:ascii="Times New Roman" w:hAnsi="Times New Roman" w:cs="Times New Roman"/>
                <w:color w:val="auto"/>
              </w:rPr>
            </w:pPr>
          </w:p>
          <w:p w:rsidR="00E76A6F" w:rsidRPr="001A077E" w:rsidRDefault="00E76A6F" w:rsidP="00E0528D">
            <w:pPr>
              <w:jc w:val="both"/>
              <w:rPr>
                <w:rFonts w:ascii="Times New Roman" w:hAnsi="Times New Roman" w:cs="Times New Roman"/>
                <w:color w:val="auto"/>
              </w:rPr>
            </w:pPr>
          </w:p>
          <w:p w:rsidR="00E76A6F" w:rsidRPr="001A077E" w:rsidRDefault="00E76A6F" w:rsidP="00E0528D">
            <w:pPr>
              <w:jc w:val="both"/>
              <w:rPr>
                <w:rFonts w:ascii="Times New Roman" w:hAnsi="Times New Roman" w:cs="Times New Roman"/>
                <w:color w:val="auto"/>
              </w:rPr>
            </w:pPr>
          </w:p>
          <w:p w:rsidR="00E76A6F" w:rsidRPr="001A077E" w:rsidRDefault="00E76A6F" w:rsidP="00E0528D">
            <w:pPr>
              <w:jc w:val="both"/>
              <w:rPr>
                <w:rFonts w:ascii="Times New Roman" w:hAnsi="Times New Roman" w:cs="Times New Roman"/>
                <w:color w:val="auto"/>
              </w:rPr>
            </w:pPr>
          </w:p>
          <w:p w:rsidR="00E76A6F" w:rsidRPr="001A077E" w:rsidRDefault="00E76A6F" w:rsidP="00E0528D">
            <w:pPr>
              <w:jc w:val="both"/>
              <w:rPr>
                <w:rFonts w:ascii="Times New Roman" w:hAnsi="Times New Roman" w:cs="Times New Roman"/>
                <w:color w:val="auto"/>
              </w:rPr>
            </w:pPr>
          </w:p>
          <w:p w:rsidR="00E76A6F" w:rsidRPr="001A077E" w:rsidRDefault="00E76A6F" w:rsidP="00E0528D">
            <w:pPr>
              <w:jc w:val="both"/>
              <w:rPr>
                <w:rFonts w:ascii="Times New Roman" w:hAnsi="Times New Roman" w:cs="Times New Roman"/>
                <w:color w:val="auto"/>
              </w:rPr>
            </w:pP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Quyết định chấm dứt hoạt động của văn phòng điều hành trong trường hợp văn phòng điều hành chấm dứt hoạt động trước thời hạn</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Danh sách chủ nợ và số nợ đã thanh toán</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Danh sách người lao động và quyền lợi người lao động đã được giải quyết</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Xác nhận của cơ quan thuế về việc đã hoàn thành các nghĩa vụ về thuế</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Xác nhận của cơ quan bảo hiểm xã hội về việc đã hoàn thành nghĩa vụ về bảo hiểm xã hội</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Xác nhận của cơ quan công an về việc hủy con dấu</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Giấy chứng nhận đăng ký hoạt động văn phòng điều hành</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E76A6F" w:rsidRPr="002313D5"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Giấy chứng nhận đăng ký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 Bản sao hợp đồng BCC</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E76A6F" w:rsidRPr="001A077E" w:rsidTr="00E0528D">
        <w:trPr>
          <w:trHeight w:val="227"/>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Trong thời hạn </w:t>
            </w:r>
            <w:r w:rsidRPr="001A077E">
              <w:rPr>
                <w:rFonts w:ascii="Times New Roman" w:hAnsi="Times New Roman" w:cs="Times New Roman"/>
                <w:color w:val="auto"/>
              </w:rPr>
              <w:t xml:space="preserve">08 ngày làm việc kể từ ngày nhận đủ hồ sơ hợp lệ </w:t>
            </w:r>
          </w:p>
        </w:tc>
      </w:tr>
      <w:tr w:rsidR="00E76A6F" w:rsidRPr="001A077E" w:rsidTr="00E0528D">
        <w:trPr>
          <w:trHeight w:val="345"/>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10"/>
              <w:jc w:val="both"/>
              <w:rPr>
                <w:rFonts w:ascii="Times New Roman" w:hAnsi="Times New Roman" w:cs="Times New Roman"/>
                <w:color w:val="auto"/>
                <w:lang w:val="de-DE"/>
              </w:rPr>
            </w:pPr>
            <w:r w:rsidRPr="001A077E">
              <w:rPr>
                <w:rFonts w:ascii="Times New Roman" w:hAnsi="Times New Roman" w:cs="Times New Roman"/>
                <w:color w:val="auto"/>
                <w:lang w:val="de-DE"/>
              </w:rPr>
              <w:t>Nhà đầu tư nước ngoài (cá nhân và tổ chức) có văn phòng điều hành trong hợp đồng BCC.</w:t>
            </w:r>
          </w:p>
        </w:tc>
      </w:tr>
      <w:tr w:rsidR="00E76A6F" w:rsidRPr="001A077E" w:rsidTr="00E0528D">
        <w:trPr>
          <w:trHeight w:val="60"/>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Ban Quản lý Khu kinh tế tỉnh Kon Tum</w:t>
            </w:r>
            <w:r w:rsidRPr="002313D5">
              <w:rPr>
                <w:rFonts w:ascii="Times New Roman" w:hAnsi="Times New Roman" w:cs="Times New Roman"/>
                <w:color w:val="auto"/>
              </w:rPr>
              <w:t xml:space="preserve"> </w:t>
            </w:r>
          </w:p>
        </w:tc>
      </w:tr>
      <w:tr w:rsidR="00E76A6F" w:rsidRPr="001A077E" w:rsidTr="00E0528D">
        <w:trPr>
          <w:trHeight w:val="56"/>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bCs/>
                <w:iCs/>
                <w:color w:val="auto"/>
              </w:rPr>
            </w:pPr>
            <w:r w:rsidRPr="001A077E">
              <w:rPr>
                <w:rFonts w:ascii="Times New Roman" w:hAnsi="Times New Roman" w:cs="Times New Roman"/>
                <w:bCs/>
                <w:iCs/>
                <w:color w:val="auto"/>
              </w:rPr>
              <w:t xml:space="preserve"> Quyết định thu hồi Giấy chứng nhận đăng ký hoạt động văn phòng điều </w:t>
            </w:r>
            <w:r w:rsidRPr="001A077E">
              <w:rPr>
                <w:rFonts w:ascii="Times New Roman" w:hAnsi="Times New Roman" w:cs="Times New Roman"/>
                <w:bCs/>
                <w:iCs/>
                <w:color w:val="auto"/>
              </w:rPr>
              <w:lastRenderedPageBreak/>
              <w:t>hành.</w:t>
            </w:r>
          </w:p>
        </w:tc>
      </w:tr>
      <w:tr w:rsidR="00E76A6F" w:rsidRPr="001A077E" w:rsidTr="00E0528D">
        <w:trPr>
          <w:trHeight w:val="195"/>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Không.</w:t>
            </w:r>
          </w:p>
        </w:tc>
      </w:tr>
      <w:tr w:rsidR="00E76A6F" w:rsidRPr="001A077E" w:rsidTr="00E0528D">
        <w:trPr>
          <w:trHeight w:val="239"/>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left="-108" w:right="-108"/>
              <w:jc w:val="both"/>
              <w:rPr>
                <w:rFonts w:ascii="Times New Roman" w:hAnsi="Times New Roman" w:cs="Times New Roman"/>
                <w:bCs/>
                <w:iCs/>
                <w:color w:val="auto"/>
                <w:lang w:val="en-US"/>
              </w:rPr>
            </w:pPr>
            <w:r w:rsidRPr="001A077E">
              <w:rPr>
                <w:rFonts w:ascii="Times New Roman" w:hAnsi="Times New Roman" w:cs="Times New Roman"/>
                <w:bCs/>
                <w:iCs/>
                <w:color w:val="auto"/>
              </w:rPr>
              <w:t xml:space="preserve">  Không</w:t>
            </w:r>
            <w:r w:rsidRPr="001A077E">
              <w:rPr>
                <w:rFonts w:ascii="Times New Roman" w:hAnsi="Times New Roman" w:cs="Times New Roman"/>
                <w:bCs/>
                <w:iCs/>
                <w:color w:val="auto"/>
                <w:lang w:val="en-US"/>
              </w:rPr>
              <w:t>.</w:t>
            </w:r>
          </w:p>
        </w:tc>
      </w:tr>
      <w:tr w:rsidR="00E76A6F" w:rsidRPr="001A077E" w:rsidTr="00E0528D">
        <w:trPr>
          <w:trHeight w:val="275"/>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108" w:right="-108"/>
              <w:jc w:val="both"/>
              <w:rPr>
                <w:rFonts w:ascii="Times New Roman" w:hAnsi="Times New Roman" w:cs="Times New Roman"/>
                <w:color w:val="auto"/>
                <w:lang w:val="en-US"/>
              </w:rPr>
            </w:pPr>
            <w:r w:rsidRPr="001A077E">
              <w:rPr>
                <w:rFonts w:ascii="Times New Roman" w:hAnsi="Times New Roman" w:cs="Times New Roman"/>
                <w:color w:val="auto"/>
              </w:rPr>
              <w:t xml:space="preserve">  Không</w:t>
            </w:r>
            <w:r w:rsidRPr="001A077E">
              <w:rPr>
                <w:rFonts w:ascii="Times New Roman" w:hAnsi="Times New Roman" w:cs="Times New Roman"/>
                <w:color w:val="auto"/>
                <w:lang w:val="en-US"/>
              </w:rPr>
              <w:t>.</w:t>
            </w:r>
          </w:p>
        </w:tc>
      </w:tr>
      <w:tr w:rsidR="00E76A6F" w:rsidRPr="001A077E" w:rsidTr="00E0528D">
        <w:trPr>
          <w:trHeight w:val="699"/>
        </w:trPr>
        <w:tc>
          <w:tcPr>
            <w:tcW w:w="2552" w:type="dxa"/>
            <w:tcBorders>
              <w:top w:val="single" w:sz="4" w:space="0" w:color="auto"/>
              <w:left w:val="single" w:sz="4" w:space="0" w:color="auto"/>
              <w:bottom w:val="single" w:sz="4" w:space="0" w:color="auto"/>
              <w:right w:val="single" w:sz="4" w:space="0" w:color="auto"/>
            </w:tcBorders>
          </w:tcPr>
          <w:p w:rsidR="00E76A6F" w:rsidRPr="001A077E" w:rsidRDefault="00E76A6F" w:rsidP="00E0528D">
            <w:pPr>
              <w:ind w:right="-76"/>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E76A6F" w:rsidRPr="001A077E" w:rsidRDefault="00E76A6F"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 Luật Đầu tư năm 2014.</w:t>
            </w:r>
          </w:p>
          <w:p w:rsidR="00E76A6F" w:rsidRPr="001A077E" w:rsidRDefault="00E76A6F"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p>
          <w:p w:rsidR="00E76A6F" w:rsidRPr="001A077E" w:rsidRDefault="00E76A6F" w:rsidP="00E0528D">
            <w:pPr>
              <w:tabs>
                <w:tab w:val="left" w:pos="2160"/>
              </w:tabs>
              <w:autoSpaceDE w:val="0"/>
              <w:autoSpaceDN w:val="0"/>
              <w:adjustRightInd w:val="0"/>
              <w:ind w:left="-77" w:right="-108"/>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6F"/>
    <w:rsid w:val="00971503"/>
    <w:rsid w:val="00BF3DB1"/>
    <w:rsid w:val="00E7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D80A"/>
  <w15:chartTrackingRefBased/>
  <w15:docId w15:val="{7EA365C9-553B-4880-8D51-7AB3D9DC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A6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2019-10-29T02:29:00Z</dcterms:created>
  <dcterms:modified xsi:type="dcterms:W3CDTF">2019-10-29T02:29:00Z</dcterms:modified>
</cp:coreProperties>
</file>